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B876" w14:textId="49295C7F" w:rsidR="00C61309" w:rsidRPr="00E25120" w:rsidRDefault="00F330D0" w:rsidP="00117D1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5120">
        <w:rPr>
          <w:rFonts w:ascii="Times New Roman" w:hAnsi="Times New Roman" w:cs="Times New Roman"/>
          <w:b/>
          <w:bCs/>
          <w:sz w:val="26"/>
          <w:szCs w:val="26"/>
          <w:lang w:val="uk-UA"/>
        </w:rPr>
        <w:t>Ідентифікатор закупівлі:</w:t>
      </w:r>
      <w:r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122B" w:rsidRPr="0022122B">
        <w:rPr>
          <w:rFonts w:ascii="Times New Roman" w:hAnsi="Times New Roman" w:cs="Times New Roman"/>
          <w:sz w:val="26"/>
          <w:szCs w:val="26"/>
          <w:lang w:val="uk-UA"/>
        </w:rPr>
        <w:t>UA-2026-04-15-010930-a</w:t>
      </w:r>
    </w:p>
    <w:p w14:paraId="71B5E73E" w14:textId="77777777" w:rsidR="00FD49FF" w:rsidRPr="00E25120" w:rsidRDefault="00FD49FF" w:rsidP="00117D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E72A5EB" w14:textId="6C34CBD5" w:rsidR="00972F7B" w:rsidRPr="00E25120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color w:val="1D1D1B"/>
          <w:sz w:val="26"/>
          <w:szCs w:val="26"/>
          <w:lang w:val="uk-UA"/>
        </w:rPr>
        <w:t xml:space="preserve">2. Предмет закупівлі: </w:t>
      </w:r>
      <w:r w:rsidR="0022122B"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проведення лабораторних досліджень нехарчової продукції: лакофарбових матеріалів та лакофарбових матеріалів для будівель та ремонту колісних транспортних засобів</w:t>
      </w:r>
      <w:r w:rsidR="00E25120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="009C61A6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(ДК 021:2015: 71900000-7 Лабораторні послуги)</w:t>
      </w:r>
      <w:r w:rsidR="00117D16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.</w:t>
      </w:r>
    </w:p>
    <w:p w14:paraId="468A8306" w14:textId="77777777" w:rsidR="00117D16" w:rsidRPr="00E25120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</w:p>
    <w:p w14:paraId="3821F188" w14:textId="552B428D" w:rsidR="00E25120" w:rsidRPr="00E25120" w:rsidRDefault="00F330D0" w:rsidP="00E251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6"/>
          <w:szCs w:val="26"/>
          <w:shd w:val="clear" w:color="auto" w:fill="FFFFFF"/>
          <w:lang w:val="uk-UA"/>
        </w:rPr>
      </w:pPr>
      <w:r w:rsidRPr="00E25120">
        <w:rPr>
          <w:rStyle w:val="a4"/>
          <w:color w:val="1D1D1B"/>
          <w:sz w:val="26"/>
          <w:szCs w:val="26"/>
          <w:lang w:val="uk-UA"/>
        </w:rPr>
        <w:t>Обґрунтування</w:t>
      </w:r>
      <w:r w:rsidRPr="00E25120">
        <w:rPr>
          <w:rStyle w:val="a4"/>
          <w:color w:val="333333"/>
          <w:sz w:val="26"/>
          <w:szCs w:val="26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</w:p>
    <w:p w14:paraId="2AE888D1" w14:textId="266154C3" w:rsidR="0022122B" w:rsidRPr="0022122B" w:rsidRDefault="0022122B" w:rsidP="002212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1. </w:t>
      </w: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Учасник повинен бути акредитований на відповідність вимогам ДСТУ EN ISO/IEC 17025:2019 «Загальні вимоги до компетентності випробувальних та калібрувальних лабораторій» за стандартами, які включені до Переліків національних стандартів, які у разі добровільного застосування можуть сприйматися як доказ відповідності продукції вимогам:</w:t>
      </w:r>
    </w:p>
    <w:p w14:paraId="35D5921E" w14:textId="3763DD62" w:rsidR="0022122B" w:rsidRPr="0022122B" w:rsidRDefault="0022122B" w:rsidP="002212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- Технічного регламенту обмеження використання свинцю в лакофарбових матеріалах і сировинних компонентах, затвердженого постановою Кабінету Міністрів України від 28.04.2021</w:t>
      </w:r>
      <w:r w:rsidR="005F48D5">
        <w:rPr>
          <w:rStyle w:val="a4"/>
          <w:b w:val="0"/>
          <w:bCs w:val="0"/>
          <w:color w:val="1D1D1B"/>
          <w:sz w:val="26"/>
          <w:szCs w:val="26"/>
          <w:lang w:val="uk-UA"/>
        </w:rPr>
        <w:t>р.</w:t>
      </w: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№ 432;</w:t>
      </w:r>
    </w:p>
    <w:p w14:paraId="5D535AB8" w14:textId="4F15C326" w:rsidR="0022122B" w:rsidRPr="0022122B" w:rsidRDefault="0022122B" w:rsidP="002212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- Технічного регламенту щодо обмеження викидів летких органічних </w:t>
      </w:r>
      <w:proofErr w:type="spellStart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сполук</w:t>
      </w:r>
      <w:proofErr w:type="spellEnd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унаслідок використання органічних розчинників у лакофарбових матеріалах для будівель та ремонту колісних транспортних засобів, затвердженого наказом </w:t>
      </w:r>
      <w:proofErr w:type="spellStart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Мінекономрозвитку</w:t>
      </w:r>
      <w:proofErr w:type="spellEnd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від 02.10.2018 № 1394. </w:t>
      </w:r>
    </w:p>
    <w:p w14:paraId="61CC2C2B" w14:textId="77777777" w:rsidR="0022122B" w:rsidRPr="0022122B" w:rsidRDefault="0022122B" w:rsidP="002212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Для підтвердження  зазначеного учасник повинен мати Атестат про акредитацію відповідно до вимог ДСТУ EN ISO/IEC 17025:2019 з додатками, які визначають відповідну сферу акредитації для зразків продукції визначених цією документацію.</w:t>
      </w:r>
    </w:p>
    <w:p w14:paraId="70C759F7" w14:textId="38A5AAE5" w:rsidR="0022122B" w:rsidRPr="0022122B" w:rsidRDefault="0022122B" w:rsidP="002212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2. Учасник не повинен мати обмежень сфери акредитації щодо окремих видів випробувань на відповідність національним стандартам, які у разі добровільного застосування можуть сприйматись як доказ відповідності продукції вимогам Технічного регламенту обмеження використання свинцю в лакофарбових матеріалах і сировинних компонентах, затвердженого постановою Кабінету Міністрів України від 28.04.2021 </w:t>
      </w:r>
      <w:r w:rsidR="005F48D5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р.          </w:t>
      </w: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№ 432, Технічного регламенту щодо обмеження викидів летких органічних </w:t>
      </w:r>
      <w:proofErr w:type="spellStart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сполук</w:t>
      </w:r>
      <w:proofErr w:type="spellEnd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унаслідок використання органічних розчинників у лакофарбових матеріалах для будівель та ремонту колісних транспортних засобів, затвердженого наказом </w:t>
      </w:r>
      <w:proofErr w:type="spellStart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Мінекономрозвитку</w:t>
      </w:r>
      <w:proofErr w:type="spellEnd"/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від 02.10.2018 </w:t>
      </w:r>
      <w:r w:rsidR="005F48D5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р. </w:t>
      </w: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№ 1394.</w:t>
      </w:r>
    </w:p>
    <w:p w14:paraId="4575A117" w14:textId="2AD34B99" w:rsidR="009C61A6" w:rsidRPr="0022122B" w:rsidRDefault="0022122B" w:rsidP="002212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ru-RU"/>
        </w:rPr>
      </w:pPr>
      <w:r w:rsidRPr="0022122B">
        <w:rPr>
          <w:rStyle w:val="a4"/>
          <w:b w:val="0"/>
          <w:bCs w:val="0"/>
          <w:color w:val="1D1D1B"/>
          <w:sz w:val="26"/>
          <w:szCs w:val="26"/>
          <w:lang w:val="uk-UA"/>
        </w:rPr>
        <w:t>3. Відповідно до частини 7 статті 27 Закону України «Про державний ринковий нагляд і контроль нехарчової продукції» термін дослідження не може перевищувати тридцяти робочих днів з дня прийняття рішення про її проведення. Цей строк може бути більшим у разі, якщо методикою проведення експертизи (випробувань)  зразків продукції передбачено більш тривалий час для її проведення.</w:t>
      </w:r>
    </w:p>
    <w:p w14:paraId="0555195D" w14:textId="77777777" w:rsidR="00E25120" w:rsidRPr="00E25120" w:rsidRDefault="00E25120" w:rsidP="00E251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</w:p>
    <w:p w14:paraId="3452F40E" w14:textId="42495B44" w:rsidR="00B40155" w:rsidRPr="00E25120" w:rsidRDefault="00F330D0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  <w:r w:rsidRPr="00E25120">
        <w:rPr>
          <w:rStyle w:val="a4"/>
          <w:color w:val="1D1D1B"/>
          <w:sz w:val="26"/>
          <w:szCs w:val="26"/>
          <w:lang w:val="uk-UA"/>
        </w:rPr>
        <w:t xml:space="preserve">4. Обґрунтування очікуваної вартості предмета закупівлі: </w:t>
      </w:r>
    </w:p>
    <w:p w14:paraId="08A36FF9" w14:textId="409EBFCA" w:rsidR="009C61A6" w:rsidRPr="00E25120" w:rsidRDefault="009C61A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6"/>
          <w:szCs w:val="26"/>
          <w:lang w:val="uk-UA"/>
        </w:rPr>
      </w:pP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Очікувана вартість предмета закупівл</w:t>
      </w:r>
      <w:r w:rsidR="009C6568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і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визначена з урахуванням цін</w:t>
      </w:r>
      <w:r w:rsidR="0022122B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на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послуг</w:t>
      </w:r>
      <w:r w:rsidR="0022122B">
        <w:rPr>
          <w:rStyle w:val="a4"/>
          <w:b w:val="0"/>
          <w:bCs w:val="0"/>
          <w:color w:val="1D1D1B"/>
          <w:sz w:val="26"/>
          <w:szCs w:val="26"/>
          <w:lang w:val="uk-UA"/>
        </w:rPr>
        <w:t>и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випробувальних лабораторій, які акредитовані на відповідність вимогам ДСТУ 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EN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ISO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/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IEC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17025:2019 «Загальні вимоги до компетентності випробувальних та калібрувальних лабораторій» за стандартами, </w:t>
      </w:r>
      <w:r w:rsidR="009C6568"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>які включені до Переліків національних стандартів, які в разі добровільного застосування можуть сприйматися як доказ відповідності продукції вимогам усіх Технічних регламентів, які поширюються на продукцію, що перевіряється.</w:t>
      </w:r>
      <w:r w:rsidRPr="00E25120">
        <w:rPr>
          <w:rStyle w:val="a4"/>
          <w:b w:val="0"/>
          <w:bCs w:val="0"/>
          <w:color w:val="1D1D1B"/>
          <w:sz w:val="26"/>
          <w:szCs w:val="26"/>
          <w:lang w:val="uk-UA"/>
        </w:rPr>
        <w:t xml:space="preserve"> </w:t>
      </w:r>
      <w:r w:rsidRPr="00E25120">
        <w:rPr>
          <w:rStyle w:val="a4"/>
          <w:b w:val="0"/>
          <w:bCs w:val="0"/>
          <w:color w:val="1D1D1B"/>
          <w:sz w:val="26"/>
          <w:szCs w:val="26"/>
        </w:rPr>
        <w:t> </w:t>
      </w:r>
    </w:p>
    <w:p w14:paraId="60FE07C6" w14:textId="77777777" w:rsidR="00117D16" w:rsidRPr="00E25120" w:rsidRDefault="00117D16" w:rsidP="00117D1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6"/>
          <w:szCs w:val="26"/>
          <w:lang w:val="uk-UA"/>
        </w:rPr>
      </w:pPr>
    </w:p>
    <w:p w14:paraId="2C0A4805" w14:textId="3EE2E8E0" w:rsidR="00214488" w:rsidRPr="00E25120" w:rsidRDefault="005A2389" w:rsidP="00E25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5120">
        <w:rPr>
          <w:rStyle w:val="a4"/>
          <w:rFonts w:ascii="Times New Roman" w:eastAsia="Times New Roman" w:hAnsi="Times New Roman" w:cs="Times New Roman"/>
          <w:color w:val="1D1D1B"/>
          <w:sz w:val="26"/>
          <w:szCs w:val="26"/>
          <w:lang w:val="uk-UA"/>
        </w:rPr>
        <w:t>5. Розмір бюджетного призначення:</w:t>
      </w:r>
      <w:r w:rsidRPr="00E25120">
        <w:rPr>
          <w:rStyle w:val="a4"/>
          <w:color w:val="1D1D1B"/>
          <w:sz w:val="26"/>
          <w:szCs w:val="26"/>
          <w:lang w:val="uk-UA"/>
        </w:rPr>
        <w:t xml:space="preserve"> </w:t>
      </w:r>
      <w:r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Розмір бюджетного призначення визначений </w:t>
      </w:r>
      <w:r w:rsidR="00701E62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розрахунків до кошторису </w:t>
      </w:r>
      <w:r w:rsidR="009C61A6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за відповідним напрямком використання </w:t>
      </w:r>
      <w:r w:rsidR="00701E62" w:rsidRPr="00E25120">
        <w:rPr>
          <w:rFonts w:ascii="Times New Roman" w:hAnsi="Times New Roman" w:cs="Times New Roman"/>
          <w:sz w:val="26"/>
          <w:szCs w:val="26"/>
          <w:lang w:val="uk-UA"/>
        </w:rPr>
        <w:t>Головного управління Держпродспоживслужби в Київській області</w:t>
      </w:r>
      <w:r w:rsidR="00DB6953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 на 202</w:t>
      </w:r>
      <w:r w:rsidR="00E25120" w:rsidRPr="00E2512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B6953" w:rsidRPr="00E25120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="00E25120" w:rsidRPr="00E2512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sectPr w:rsidR="00214488" w:rsidRPr="00E25120" w:rsidSect="00E25120">
      <w:pgSz w:w="12240" w:h="15840"/>
      <w:pgMar w:top="426" w:right="900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A30D18"/>
    <w:multiLevelType w:val="hybridMultilevel"/>
    <w:tmpl w:val="082CD540"/>
    <w:lvl w:ilvl="0" w:tplc="998E7F96">
      <w:start w:val="3"/>
      <w:numFmt w:val="decimal"/>
      <w:lvlText w:val="%1."/>
      <w:lvlJc w:val="left"/>
      <w:pPr>
        <w:ind w:left="786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17D16"/>
    <w:rsid w:val="00155439"/>
    <w:rsid w:val="00214488"/>
    <w:rsid w:val="0022122B"/>
    <w:rsid w:val="00422F9D"/>
    <w:rsid w:val="00481B8E"/>
    <w:rsid w:val="00561AF4"/>
    <w:rsid w:val="005A2389"/>
    <w:rsid w:val="005D236B"/>
    <w:rsid w:val="005F48D5"/>
    <w:rsid w:val="00701E62"/>
    <w:rsid w:val="007F6696"/>
    <w:rsid w:val="00863BBF"/>
    <w:rsid w:val="008B34A1"/>
    <w:rsid w:val="0091550C"/>
    <w:rsid w:val="00972F7B"/>
    <w:rsid w:val="009C61A6"/>
    <w:rsid w:val="009C6568"/>
    <w:rsid w:val="00A2010B"/>
    <w:rsid w:val="00AF1279"/>
    <w:rsid w:val="00B03442"/>
    <w:rsid w:val="00B40155"/>
    <w:rsid w:val="00B87454"/>
    <w:rsid w:val="00B946CC"/>
    <w:rsid w:val="00BF2773"/>
    <w:rsid w:val="00C61309"/>
    <w:rsid w:val="00CB1B32"/>
    <w:rsid w:val="00CF3E61"/>
    <w:rsid w:val="00D83236"/>
    <w:rsid w:val="00D84286"/>
    <w:rsid w:val="00DB6953"/>
    <w:rsid w:val="00E25120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Бойко Лариса Григорівна</cp:lastModifiedBy>
  <cp:revision>3</cp:revision>
  <dcterms:created xsi:type="dcterms:W3CDTF">2026-04-15T13:39:00Z</dcterms:created>
  <dcterms:modified xsi:type="dcterms:W3CDTF">2026-04-15T13:39:00Z</dcterms:modified>
</cp:coreProperties>
</file>